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E3891" w14:textId="0E6A10D9" w:rsidR="00F70440" w:rsidRPr="00F70440" w:rsidRDefault="00F70440" w:rsidP="0064717C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F70440">
        <w:rPr>
          <w:rFonts w:ascii="Segoe UI" w:hAnsi="Segoe UI" w:cs="Segoe UI"/>
          <w:b/>
          <w:bCs/>
          <w:sz w:val="20"/>
          <w:szCs w:val="20"/>
        </w:rPr>
        <w:t xml:space="preserve">Warszawa, </w:t>
      </w:r>
      <w:r w:rsidR="0051365F">
        <w:rPr>
          <w:rFonts w:ascii="Segoe UI" w:hAnsi="Segoe UI" w:cs="Segoe UI"/>
          <w:b/>
          <w:bCs/>
          <w:sz w:val="20"/>
          <w:szCs w:val="20"/>
        </w:rPr>
        <w:t>10</w:t>
      </w:r>
      <w:r w:rsidR="00EB6B24">
        <w:rPr>
          <w:rFonts w:ascii="Segoe UI" w:hAnsi="Segoe UI" w:cs="Segoe UI"/>
          <w:b/>
          <w:bCs/>
          <w:sz w:val="20"/>
          <w:szCs w:val="20"/>
        </w:rPr>
        <w:t>.</w:t>
      </w:r>
      <w:r w:rsidR="00763951">
        <w:rPr>
          <w:rFonts w:ascii="Segoe UI" w:hAnsi="Segoe UI" w:cs="Segoe UI"/>
          <w:b/>
          <w:bCs/>
          <w:sz w:val="20"/>
          <w:szCs w:val="20"/>
        </w:rPr>
        <w:t>0</w:t>
      </w:r>
      <w:r w:rsidR="0051365F">
        <w:rPr>
          <w:rFonts w:ascii="Segoe UI" w:hAnsi="Segoe UI" w:cs="Segoe UI"/>
          <w:b/>
          <w:bCs/>
          <w:sz w:val="20"/>
          <w:szCs w:val="20"/>
        </w:rPr>
        <w:t>6</w:t>
      </w:r>
      <w:r w:rsidR="00EB6B24">
        <w:rPr>
          <w:rFonts w:ascii="Segoe UI" w:hAnsi="Segoe UI" w:cs="Segoe UI"/>
          <w:b/>
          <w:bCs/>
          <w:sz w:val="20"/>
          <w:szCs w:val="20"/>
        </w:rPr>
        <w:t>.</w:t>
      </w:r>
      <w:r w:rsidR="00763951">
        <w:rPr>
          <w:rFonts w:ascii="Segoe UI" w:hAnsi="Segoe UI" w:cs="Segoe UI"/>
          <w:b/>
          <w:bCs/>
          <w:sz w:val="20"/>
          <w:szCs w:val="20"/>
        </w:rPr>
        <w:t>2024 r.</w:t>
      </w:r>
    </w:p>
    <w:p w14:paraId="7730B03A" w14:textId="4AC1F894" w:rsidR="0064717C" w:rsidRPr="0064717C" w:rsidRDefault="00763951" w:rsidP="0064717C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Materiał prasowy</w:t>
      </w:r>
      <w:r w:rsidR="0064717C">
        <w:rPr>
          <w:rFonts w:ascii="Segoe UI" w:hAnsi="Segoe UI" w:cs="Segoe UI"/>
          <w:b/>
          <w:bCs/>
          <w:sz w:val="20"/>
          <w:szCs w:val="20"/>
        </w:rPr>
        <w:br/>
      </w:r>
    </w:p>
    <w:p w14:paraId="2585954A" w14:textId="77777777" w:rsidR="00DB73BC" w:rsidRPr="00DB73BC" w:rsidRDefault="00DB73BC" w:rsidP="00DB73BC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B73BC">
        <w:rPr>
          <w:rFonts w:ascii="Arial" w:hAnsi="Arial" w:cs="Arial"/>
          <w:b/>
          <w:bCs/>
          <w:color w:val="000000" w:themeColor="text1"/>
          <w:sz w:val="36"/>
          <w:szCs w:val="36"/>
        </w:rPr>
        <w:t>„Wracam do Polski po dobrze płatną pracę i lepsze warunki życia”, czyli dlaczego polscy studenci zagranicznych uczelni chcą wracać do kraju</w:t>
      </w:r>
    </w:p>
    <w:p w14:paraId="2C7D194B" w14:textId="77777777" w:rsidR="00763951" w:rsidRPr="00205327" w:rsidRDefault="00763951" w:rsidP="00763951">
      <w:pPr>
        <w:spacing w:after="0" w:line="23" w:lineRule="atLeast"/>
        <w:jc w:val="both"/>
        <w:rPr>
          <w:rFonts w:cstheme="minorHAnsi"/>
          <w:b/>
          <w:bCs/>
          <w:sz w:val="20"/>
          <w:szCs w:val="20"/>
        </w:rPr>
      </w:pPr>
    </w:p>
    <w:p w14:paraId="63541B94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Dlaczego młodzi Polacy wyjeżdżają na studia za granicę? Odpowiedź wydaje się oczywista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wyjazd jest ogromną szansą na rozwój. Chodzi o skorzystanie z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możliwośc</w:t>
      </w: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>które nie są dostępne na miejscu, tu w Polsce. Dyplom zagranicznej uczelni w kieszeni i doświadczenie zdobyte w międzynarodowym środowisku nie tylko dobrze wygląda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ją</w:t>
      </w: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CV, ale również dużo znaczą w praktyce. Więc pojawia się pytanie: po co wracać? W Polsce czeka dobrze płatna praca, perspektywy na udaną, satysfakcjonującą karierę, niższe ceny i lepsze warunki życia niż na Zachodzie. Tak wynika z badania przeprowadzonego przez Fundację GPW, w którym wzięli udział laureaci Programu „Go4Poland –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>ybierz Polskę”, prowadzonego przez Fundację GPW</w:t>
      </w:r>
      <w:r>
        <w:rPr>
          <w:rStyle w:val="Odwoanieprzypisudolnego"/>
          <w:rFonts w:ascii="Arial" w:hAnsi="Arial" w:cs="Arial"/>
          <w:b/>
          <w:bCs/>
          <w:color w:val="000000" w:themeColor="text1"/>
          <w:sz w:val="20"/>
          <w:szCs w:val="20"/>
        </w:rPr>
        <w:footnoteReference w:id="2"/>
      </w: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2CB2E358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C873FE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>Kierunek Polska!</w:t>
      </w:r>
    </w:p>
    <w:p w14:paraId="5616CCFC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3C2C719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Wielu młodych Polaków marzy o szansie, jaką jest wyjazd na studia na za granicę. Nie jest ona dana każdemu, bo realizacja takiego marzenia wiele kosztuje. Nie tylko pieniędzy (mimo oferowanych stypendiów i </w:t>
      </w:r>
      <w:r>
        <w:rPr>
          <w:rFonts w:ascii="Arial" w:hAnsi="Arial" w:cs="Arial"/>
          <w:color w:val="000000" w:themeColor="text1"/>
          <w:sz w:val="20"/>
          <w:szCs w:val="20"/>
        </w:rPr>
        <w:t>innego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>parcia nierzadko oferowanego przez stronę „przyjmującą”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, ale i wyrzeczeń oraz pracy włożonej w spełnienie wymogów zagranicznej uczelni. A konkurencja nie jest mała.  </w:t>
      </w:r>
      <w:r w:rsidRPr="005C1B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Nie wystarczą tylko dobre stopnie, trzeba wykazać się dodatkowymi osiągnięciami, trzeba być zaangażowanym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5C1B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 wytrwałym. 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>Zresztą, nie chodzi tylko o naukę – ona jest „tylko” przepustką do tego, z czym wiąże się przebywanie poza krajem. Chodzi o zdobywanie doświadczenia w międzynarodowym środowisku, na rynkach pracy, które są zdecydowanie większe niż te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w Polsce, przyglądanie się z bliska, jak działają firmy, które są znane na całym świecie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>i bycie na miejscu, tam, gdzie „rzeczy się dzieją”.</w:t>
      </w:r>
      <w:r w:rsidRPr="005C1B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Takie doświadczenie</w:t>
      </w:r>
      <w:r w:rsidRPr="005C1B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zwiększa konkurencyjność na rynku pracy.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Dlaczego więc niektórzy celow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rezygnują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5C1BFE">
        <w:rPr>
          <w:rFonts w:ascii="Arial" w:hAnsi="Arial" w:cs="Arial"/>
          <w:color w:val="000000" w:themeColor="text1"/>
          <w:sz w:val="20"/>
          <w:szCs w:val="20"/>
        </w:rPr>
        <w:t>z tych możliwości, które nie były dane ich rodzicom i po zakończeniu studiów za granicą chcą wrócić do ojczyzny?</w:t>
      </w:r>
    </w:p>
    <w:p w14:paraId="225CE4F9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C8E498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>Odpowiedź na to pytanie udziela badanie przeprowadzone przez Fundację GPW, w którym uczestniczyli laureaci programu „Go4Poland”, czyli polscy studenci zagranicznych uczelni.</w:t>
      </w:r>
    </w:p>
    <w:p w14:paraId="15F687A5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BE720D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56% pytanych zadeklarowało wprost, że po zakończeniu studiów zamierzają wrócić do Polski. „Tylko” 14% polskich studentów przyznało, że w planach mają pozostanie za granicą. Należy jednocześnie zaznaczyć, że 30% osób ankietowanych przez Fundację nie podjęło jeszcze  decyzji o ewentualnym powrocie czy </w:t>
      </w:r>
      <w:proofErr w:type="spellStart"/>
      <w:r w:rsidRPr="005C1BFE">
        <w:rPr>
          <w:rFonts w:ascii="Arial" w:hAnsi="Arial" w:cs="Arial"/>
          <w:color w:val="000000" w:themeColor="text1"/>
          <w:sz w:val="20"/>
          <w:szCs w:val="20"/>
        </w:rPr>
        <w:t>zostaniu</w:t>
      </w:r>
      <w:proofErr w:type="spellEnd"/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poza krajem. Jak należy interpretować te dane? Odpowiada </w:t>
      </w: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>Alina Bączar, Wiceprezes Fundacji GPW:</w:t>
      </w:r>
    </w:p>
    <w:p w14:paraId="7E2A1D88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0BBEF2E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5C1BF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Dla większości Laureatów Programu „Go4Poland”, czyli studentów zagranicznych uczelni, powrót do Polski stanowi ważny punkt w planach dotyczących ich przyszłości. Oznacza to, że widzą w naszym kraju perspektywy na zdobycie atrakcyjnej pracy i zbudowanie udanej kariery zawodowej w polskich warunkach. Przeważnie  są to również osoby, które wyjechały za granicę z konkretnymi planami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5C1BFE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– świadomie wybierały zagraniczne uczelnie i kierunki, chciałby zdobyć konkretne kompetencje i im się to udało. Już wiedzą, jak je mogą wykorzystać w Polsce, a jeżeli jeszcze nie, to mają (słuszne) przekonanie, że mogą wiele zaoferować przyszłemu pracodawcy, tu, w Polsce, a ich CV na wstępie jest „bogatsze” niż rówieśników, którzy nie wyjeżdżali.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34D38C75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C028B1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>Jednocześnie trzeba zaznaczyć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iż fakt, że 14% polskich studentów zagranicznych uczelni nie chce wracać do Polski, nie musi oznaczać, że te osoby nie widzą w naszym kraju przyszłości dla siebie lub „przegrywa” on w przedbiegach z rynkami pracy na Zachodzie. W grę mogą również wchodzić kwestie osobiste, co pokazują wyniki ankiety przeprowadzonej przez Fundację GPW. 9% respondentów wskazało wprost, że mają partnera/partnerkę lub założyli/założyły rodzinę za granicą, co jest dla nich motywacją do pozostania poza Polską.</w:t>
      </w:r>
    </w:p>
    <w:p w14:paraId="10E5CD05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F6ED91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5C1BF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Osoby, które kończą studia za granicą, chcą wrócić do Polski i związać swoją przyszłość z polskim rynkiem pracy, bo wiedzą, że mają na nim przewagę, dzięki ukończeniu prestiżowych uczelni znanych na całym świecie i zdobyciu międzynarodowego doświadczenia. Tę świadomość widzimy również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5C1BFE">
        <w:rPr>
          <w:rFonts w:ascii="Arial" w:hAnsi="Arial" w:cs="Arial"/>
          <w:i/>
          <w:iCs/>
          <w:color w:val="000000" w:themeColor="text1"/>
          <w:sz w:val="20"/>
          <w:szCs w:val="20"/>
        </w:rPr>
        <w:t>w odpowiedziach na pytanie o to, co skłania ankietowanych do powrotu do kraju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– dodaje </w:t>
      </w: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>Alina Bączar, Wiceprezes Fundacji GPW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E04A8B8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C97AE7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>Powrót z atrakcyjnym CV  i pomysłem na biznes w walizce</w:t>
      </w:r>
    </w:p>
    <w:p w14:paraId="037CC484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8BB233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>Pierwsze miejsce na tej liście „powodów do powrotów” zajmuje konkurencyjne CV – ponad połowa (52</w:t>
      </w:r>
      <w:r>
        <w:rPr>
          <w:rFonts w:ascii="Arial" w:hAnsi="Arial" w:cs="Arial"/>
          <w:color w:val="000000" w:themeColor="text1"/>
          <w:sz w:val="20"/>
          <w:szCs w:val="20"/>
        </w:rPr>
        <w:t>,6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>%) ankietowanych uważa, że ich „zagraniczne” CV będzie bardziej konkurencyjne na rodzimym rynku pracy. 1/5 (nieco ponad 21%) chce po ukończeniu zagranicznej uczelni wrócić do Polski, by założyć z naszym kraju własną firmę. Z pewnością te osoby są przekonane, że ze swoim międzynarodowymi doświadczeniami mają większą szansę na sukces.</w:t>
      </w:r>
    </w:p>
    <w:p w14:paraId="5E403BD9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44CE32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>Możliwość nauki i przebywania za granicą daje większe możliwości, szanse na rozwój i generalnie jest to doświadczenie nie do przecenienia dla młodego człowieka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ale taka sytuacja ma „minusy”, na co zwracają uwagę  ankietowani Fundacji GPW. Ponad 1/3 (31,6%) pytanych deklaruje, że po zakończeniu studiów za granicą chcą wrócić do Polski, bo nasz kraj oferuje lepsze warunki życia (np. dostęp do różnych usług). Dla 30% motywacją do powrotu są niższe koszty życia niż np. w Stanach Zjednoczonych, Wielkiej Brytanii czy innych krajach Europy Zachodniej wybieranych przez naszych studentów, takich jak, chociażby Holandia czy Szwajcaria. </w:t>
      </w:r>
    </w:p>
    <w:p w14:paraId="27A73041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F2EA28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5C1BFE">
        <w:rPr>
          <w:rFonts w:ascii="Arial" w:hAnsi="Arial" w:cs="Arial"/>
          <w:i/>
          <w:iCs/>
          <w:color w:val="000000" w:themeColor="text1"/>
          <w:sz w:val="20"/>
          <w:szCs w:val="20"/>
        </w:rPr>
        <w:t>Polacy studiujący za granicą nierzadko maj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ą</w:t>
      </w:r>
      <w:r w:rsidRPr="005C1BF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okazję się przekonać, że ceną za „zachodni dobrobyt” są np. wyższe podatki, wyższe koszty życia. Problemem też nierzadko okazuje się np. brak do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stępu do</w:t>
      </w:r>
      <w:r w:rsidRPr="005C1BF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państwowej, czyli powszechnej opieki zdrowotnej. Każdy kraj ma jakieś problemy, które widać dopiero wtedy, gdy dłużej przebywa się poza ojczyzną. Europejski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e</w:t>
      </w:r>
      <w:r w:rsidRPr="005C1BF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rynki pracy, te na Zachodzie są nasycone, a Polska nadal jest atrakcyjnym miejscem dla największych, światowych firm, które „przenoszą” do naszego kraju swoje biznesy i tworzą kolejne miejsca pracy. Polscy studenci zagranicznych uczelni nie chcą konkurować ze swoimi amerykańskimi czy holenderskimi kolegami na globalnych rynkach, wiedzą, że w Polsce ich szanse są nieporównywalnie wyższe</w:t>
      </w:r>
      <w:r>
        <w:rPr>
          <w:i/>
          <w:iCs/>
        </w:rPr>
        <w:t xml:space="preserve"> </w:t>
      </w:r>
      <w:r w:rsidRPr="00E06267">
        <w:t>–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komentuje </w:t>
      </w: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>Alina Bączar, Wiceprezes Fundacji GPW.</w:t>
      </w:r>
    </w:p>
    <w:p w14:paraId="290DD161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264FB5" w14:textId="77777777" w:rsidR="0064717C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Ważnym powodem powrotu do Polski jest również tęsknota za rodziną (deklaracje blisko 24% ankietowanych), co wydaje się oczywiste i zrozumiałe. </w:t>
      </w:r>
    </w:p>
    <w:p w14:paraId="44798EEF" w14:textId="77777777" w:rsidR="0064717C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D58845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CC8195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941F1F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>Powrót do Polski, ale kiedy?</w:t>
      </w:r>
    </w:p>
    <w:p w14:paraId="7F7ADAF9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2F862F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>Uczestnicy projektu „Go4Poland”, którzy zadeklarowali powrót do Polski po zakończeniu zagranicznych studiów wyższych, zostali również zapytani o to, kiedy zamierzają skonkretyzować swoje plany. 3 na 10 pytanych (29%) chce wrócić do kraju niezwłocznie po zakończeniu edukacji. Blisko 32% zamierza związać s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>ą przyszłość z Polską w ciąg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1-4 lat po skończeniu szkoły wyższej. P</w:t>
      </w:r>
      <w:r>
        <w:rPr>
          <w:rFonts w:ascii="Arial" w:hAnsi="Arial" w:cs="Arial"/>
          <w:color w:val="000000" w:themeColor="text1"/>
          <w:sz w:val="20"/>
          <w:szCs w:val="20"/>
        </w:rPr>
        <w:t>onad 10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% deklaruje, że będzie to później niż w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4 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ciągu lat. Najczęstszy powód opóźniania powrotu do ojczyzny? </w:t>
      </w:r>
    </w:p>
    <w:p w14:paraId="653B7923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A3192B" w14:textId="77777777" w:rsidR="0064717C" w:rsidRDefault="0064717C" w:rsidP="0064717C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5C1BF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To chęć zdobycia cennego doświadczenia zawodowego za granicą, w celu zyskania jeszcze lepszej pozycji zawodowej w Polsce i nawiązanie istotnych kontaktów międzynarodowych, które mogą mieć znaczenie na rynku pracy w naszym kraju  </w:t>
      </w: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– zaznacza  </w:t>
      </w:r>
      <w:r w:rsidRPr="005C1BFE">
        <w:rPr>
          <w:rFonts w:ascii="Arial" w:hAnsi="Arial" w:cs="Arial"/>
          <w:b/>
          <w:bCs/>
          <w:color w:val="000000" w:themeColor="text1"/>
          <w:sz w:val="20"/>
          <w:szCs w:val="20"/>
        </w:rPr>
        <w:t>Alina Bączar, Wiceprezes Fundacji GPW.</w:t>
      </w:r>
    </w:p>
    <w:p w14:paraId="4D095E36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70246A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831FECE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>W lutym wystartowała IX edycja Programu „Go4Poland”. Od 2015 r.</w:t>
      </w:r>
      <w:r w:rsidRPr="005C1BFE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C1B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stanowi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on</w:t>
      </w:r>
      <w:r w:rsidRPr="005C1B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platformę, która łączy polskich studentów i absolwentów zagranicznych uczelni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5C1B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którzy planują powrót do kraju (lub mają podjęcie tej decyzji jeszcze przed sobą) oraz Partnerów projektu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C1B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 firmy działających na naszym rynku, które szukają młodych talentów. To m.in. marki z sektora finansowego czy rynku kapitałowego, ale także jednostki administracji publicznej, które w ramach projektu oferują uczestnikom płatne staże i praktyki. Polska jest atrakcyjnym rynkiem pracy, który daje szanse na zbudowanie kariery, dlatego pracodawcy powinn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</w:t>
      </w:r>
      <w:r w:rsidRPr="005C1B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postarać się, by największe talenty, osoby, które zdecydowały się podjąć naukę za granicą, wracały do Polski. W tej misji pomaga Fundacja GPW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oferując Program mentorski, pozwalający na osobiste spotkania studentów z wybitnymi specjalistami polskiej gospodarki, publikując staże zawodowe Partnerów oraz organizując Letnią Szkołę Go4Poland. </w:t>
      </w:r>
    </w:p>
    <w:p w14:paraId="5108E7E5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5DB52BD5" w14:textId="77777777" w:rsidR="0064717C" w:rsidRPr="005C1BFE" w:rsidRDefault="0064717C" w:rsidP="0064717C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1BFE">
        <w:rPr>
          <w:rFonts w:ascii="Arial" w:hAnsi="Arial" w:cs="Arial"/>
          <w:color w:val="000000" w:themeColor="text1"/>
          <w:sz w:val="20"/>
          <w:szCs w:val="20"/>
        </w:rPr>
        <w:t>Pełny harmonogram IX edycji programu „Go4Poland” oraz szczegółowe informacje dla Uczestników (także nt. rekrutacji) oraz Patronów znajdują się na stronie: www.go4poland.pl.</w:t>
      </w:r>
    </w:p>
    <w:p w14:paraId="4DC06A40" w14:textId="77777777" w:rsidR="001E1918" w:rsidRDefault="001E1918" w:rsidP="00945BE6">
      <w:pPr>
        <w:rPr>
          <w:rFonts w:ascii="Segoe UI" w:hAnsi="Segoe UI" w:cs="Segoe UI"/>
          <w:b/>
          <w:bCs/>
          <w:sz w:val="36"/>
          <w:szCs w:val="36"/>
        </w:rPr>
      </w:pPr>
    </w:p>
    <w:p w14:paraId="5B5604C9" w14:textId="3ECCD63E" w:rsidR="00D4627C" w:rsidRPr="00866BA3" w:rsidRDefault="00582F87" w:rsidP="00D4627C">
      <w:pPr>
        <w:pStyle w:val="NormalnyWeb"/>
        <w:jc w:val="both"/>
        <w:rPr>
          <w:rFonts w:ascii="Segoe UI" w:hAnsi="Segoe UI" w:cs="Segoe UI"/>
          <w:b/>
          <w:bCs/>
          <w:sz w:val="16"/>
          <w:szCs w:val="16"/>
        </w:rPr>
      </w:pPr>
      <w:r w:rsidRPr="00866BA3">
        <w:rPr>
          <w:rFonts w:ascii="Segoe UI" w:hAnsi="Segoe UI" w:cs="Segoe UI"/>
          <w:b/>
          <w:bCs/>
          <w:sz w:val="16"/>
          <w:szCs w:val="16"/>
        </w:rPr>
        <w:t>O Fundacji GPW</w:t>
      </w:r>
    </w:p>
    <w:p w14:paraId="10EB6502" w14:textId="0194DC38" w:rsidR="00D4627C" w:rsidRPr="00866BA3" w:rsidRDefault="00D4627C" w:rsidP="00D4627C">
      <w:pPr>
        <w:pStyle w:val="NormalnyWeb"/>
        <w:jc w:val="both"/>
        <w:rPr>
          <w:rFonts w:ascii="Segoe UI" w:hAnsi="Segoe UI" w:cs="Segoe UI"/>
          <w:sz w:val="16"/>
          <w:szCs w:val="16"/>
        </w:rPr>
      </w:pPr>
      <w:r w:rsidRPr="00866BA3">
        <w:rPr>
          <w:rFonts w:ascii="Segoe UI" w:hAnsi="Segoe UI" w:cs="Segoe UI"/>
          <w:sz w:val="16"/>
          <w:szCs w:val="16"/>
        </w:rPr>
        <w:t>Działalność edukacyjna jest jedną z podstaw budowania zaufania do rynku kapitałowego i funkcjonujących na nim podmiotów. Realizując swoją misję, Giełda Papierów Wartościowych w Warszawie S.A. od wielu lat prowadzi działania edukacyjne kierowane do młodzieży, inwestorów i profesjonalistów rynku kapitałowego. Poszukując odpowiedniego narzędzia, które umożliwi wzrost zasięgu i efektywności realizowanych inicjatyw, spółki wchodzące w skład Grupy Kapitałowej GPW powołały Fundację GPW.</w:t>
      </w:r>
    </w:p>
    <w:p w14:paraId="2987FE35" w14:textId="525072FF" w:rsidR="00582F87" w:rsidRPr="00866BA3" w:rsidRDefault="00D4627C" w:rsidP="00D34EAC">
      <w:pPr>
        <w:pStyle w:val="NormalnyWeb"/>
        <w:jc w:val="both"/>
        <w:rPr>
          <w:rFonts w:ascii="Segoe UI" w:hAnsi="Segoe UI" w:cs="Segoe UI"/>
          <w:sz w:val="16"/>
          <w:szCs w:val="16"/>
        </w:rPr>
      </w:pPr>
      <w:r w:rsidRPr="00866BA3">
        <w:rPr>
          <w:rFonts w:ascii="Segoe UI" w:hAnsi="Segoe UI" w:cs="Segoe UI"/>
          <w:sz w:val="16"/>
          <w:szCs w:val="16"/>
        </w:rPr>
        <w:t>Celem Fundacji GPW jest rozwój i adaptacja oferty edukacyjnej. Fundacja realizuje swoje cele statutowe m.in. poprzez organizację i realizację projektów szkoleniowo-edukacyjnych dla młodzieży szkolnej, studentów oraz realizację programów stażowych, a w szczególności poprzez wspieranie studentów i absolwentów uczelni wyższych w kontaktach z rynkiem pracy.</w:t>
      </w:r>
    </w:p>
    <w:p w14:paraId="1967A0D3" w14:textId="40ADA86A" w:rsidR="00582F87" w:rsidRPr="00866BA3" w:rsidRDefault="00582F87" w:rsidP="00846020">
      <w:pPr>
        <w:pStyle w:val="NormalnyWeb"/>
        <w:spacing w:before="0" w:beforeAutospacing="0"/>
        <w:jc w:val="both"/>
        <w:rPr>
          <w:rFonts w:ascii="Segoe UI" w:hAnsi="Segoe UI" w:cs="Segoe UI"/>
          <w:sz w:val="16"/>
          <w:szCs w:val="16"/>
        </w:rPr>
      </w:pPr>
      <w:r w:rsidRPr="00866BA3">
        <w:rPr>
          <w:rFonts w:ascii="Segoe UI" w:hAnsi="Segoe UI" w:cs="Segoe UI"/>
          <w:sz w:val="16"/>
          <w:szCs w:val="16"/>
        </w:rPr>
        <w:t xml:space="preserve"> </w:t>
      </w:r>
    </w:p>
    <w:sectPr w:rsidR="00582F87" w:rsidRPr="00866B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5C58C" w14:textId="77777777" w:rsidR="00B91270" w:rsidRDefault="00B91270" w:rsidP="002634C4">
      <w:pPr>
        <w:spacing w:after="0" w:line="240" w:lineRule="auto"/>
      </w:pPr>
      <w:r>
        <w:separator/>
      </w:r>
    </w:p>
  </w:endnote>
  <w:endnote w:type="continuationSeparator" w:id="0">
    <w:p w14:paraId="25E57C0A" w14:textId="77777777" w:rsidR="00B91270" w:rsidRDefault="00B91270" w:rsidP="002634C4">
      <w:pPr>
        <w:spacing w:after="0" w:line="240" w:lineRule="auto"/>
      </w:pPr>
      <w:r>
        <w:continuationSeparator/>
      </w:r>
    </w:p>
  </w:endnote>
  <w:endnote w:type="continuationNotice" w:id="1">
    <w:p w14:paraId="3DF8B629" w14:textId="77777777" w:rsidR="00B91270" w:rsidRDefault="00B912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FFD5B" w14:textId="5F894009" w:rsidR="00846020" w:rsidRDefault="00866BA3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95C529" wp14:editId="17C1F2AE">
          <wp:simplePos x="0" y="0"/>
          <wp:positionH relativeFrom="column">
            <wp:posOffset>4173855</wp:posOffset>
          </wp:positionH>
          <wp:positionV relativeFrom="paragraph">
            <wp:posOffset>-46355</wp:posOffset>
          </wp:positionV>
          <wp:extent cx="1637030" cy="661035"/>
          <wp:effectExtent l="0" t="0" r="1270" b="0"/>
          <wp:wrapSquare wrapText="bothSides"/>
          <wp:docPr id="757255204" name="Obraz 757255204" descr="Obraz zawierający Czcionka, Grafi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255204" name="Obraz 5" descr="Obraz zawierający Czcionka, Grafi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57640" w14:textId="77777777" w:rsidR="00846020" w:rsidRDefault="00846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9CE6B" w14:textId="77777777" w:rsidR="00B91270" w:rsidRDefault="00B91270" w:rsidP="002634C4">
      <w:pPr>
        <w:spacing w:after="0" w:line="240" w:lineRule="auto"/>
      </w:pPr>
      <w:r>
        <w:separator/>
      </w:r>
    </w:p>
  </w:footnote>
  <w:footnote w:type="continuationSeparator" w:id="0">
    <w:p w14:paraId="58724A1A" w14:textId="77777777" w:rsidR="00B91270" w:rsidRDefault="00B91270" w:rsidP="002634C4">
      <w:pPr>
        <w:spacing w:after="0" w:line="240" w:lineRule="auto"/>
      </w:pPr>
      <w:r>
        <w:continuationSeparator/>
      </w:r>
    </w:p>
  </w:footnote>
  <w:footnote w:type="continuationNotice" w:id="1">
    <w:p w14:paraId="73C2EC40" w14:textId="77777777" w:rsidR="00B91270" w:rsidRDefault="00B91270">
      <w:pPr>
        <w:spacing w:after="0" w:line="240" w:lineRule="auto"/>
      </w:pPr>
    </w:p>
  </w:footnote>
  <w:footnote w:id="2">
    <w:p w14:paraId="0ADD539C" w14:textId="77777777" w:rsidR="0064717C" w:rsidRPr="00D9554B" w:rsidRDefault="0064717C" w:rsidP="006471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55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54B">
        <w:rPr>
          <w:rFonts w:ascii="Arial" w:hAnsi="Arial" w:cs="Arial"/>
          <w:sz w:val="16"/>
          <w:szCs w:val="16"/>
        </w:rPr>
        <w:t xml:space="preserve"> Badanie przeprowadzone wśród polskich studentów</w:t>
      </w:r>
      <w:r w:rsidRPr="00D955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i absolwentów zagranicznych uczelni z całego świata, w tym polskich studentów wywodzący się z Polonii. </w:t>
      </w:r>
      <w:r w:rsidRPr="00D9554B">
        <w:rPr>
          <w:rFonts w:ascii="Arial" w:hAnsi="Arial" w:cs="Arial"/>
          <w:sz w:val="16"/>
          <w:szCs w:val="16"/>
        </w:rPr>
        <w:t>Badanie zostało przeprowadzone online w okresie październik 2023-styczeń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3F936" w14:textId="76527C91" w:rsidR="00846020" w:rsidRDefault="00846020" w:rsidP="00846020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403E0A3" wp14:editId="255B51DC">
          <wp:simplePos x="0" y="0"/>
          <wp:positionH relativeFrom="column">
            <wp:posOffset>-48895</wp:posOffset>
          </wp:positionH>
          <wp:positionV relativeFrom="paragraph">
            <wp:posOffset>-309880</wp:posOffset>
          </wp:positionV>
          <wp:extent cx="1727200" cy="822960"/>
          <wp:effectExtent l="0" t="0" r="0" b="0"/>
          <wp:wrapTopAndBottom/>
          <wp:docPr id="831566417" name="Obraz 831566417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566417" name="Obraz 4" descr="Obraz zawierający Czcionka, Grafika, logo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02930" w14:textId="77777777" w:rsidR="007D59B0" w:rsidRDefault="007D5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B240E"/>
    <w:multiLevelType w:val="multilevel"/>
    <w:tmpl w:val="E52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B5801"/>
    <w:multiLevelType w:val="hybridMultilevel"/>
    <w:tmpl w:val="B27242FC"/>
    <w:lvl w:ilvl="0" w:tplc="474A3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AB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2F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E5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CA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25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EA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C1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E3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4450935">
    <w:abstractNumId w:val="0"/>
  </w:num>
  <w:num w:numId="2" w16cid:durableId="1299218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3D"/>
    <w:rsid w:val="00083D49"/>
    <w:rsid w:val="0009178D"/>
    <w:rsid w:val="00094D3D"/>
    <w:rsid w:val="000A3FCE"/>
    <w:rsid w:val="001172C6"/>
    <w:rsid w:val="00154DB1"/>
    <w:rsid w:val="001E1918"/>
    <w:rsid w:val="002634C4"/>
    <w:rsid w:val="00286576"/>
    <w:rsid w:val="00381E6F"/>
    <w:rsid w:val="00404A8D"/>
    <w:rsid w:val="00421EE4"/>
    <w:rsid w:val="00460670"/>
    <w:rsid w:val="004F029D"/>
    <w:rsid w:val="0051365F"/>
    <w:rsid w:val="00545DE6"/>
    <w:rsid w:val="00582F87"/>
    <w:rsid w:val="00625B17"/>
    <w:rsid w:val="00641244"/>
    <w:rsid w:val="0064717C"/>
    <w:rsid w:val="006A5B46"/>
    <w:rsid w:val="006A6150"/>
    <w:rsid w:val="006F232D"/>
    <w:rsid w:val="00763951"/>
    <w:rsid w:val="007C0A7C"/>
    <w:rsid w:val="007D59B0"/>
    <w:rsid w:val="00846020"/>
    <w:rsid w:val="00866BA3"/>
    <w:rsid w:val="00904F13"/>
    <w:rsid w:val="00945BE6"/>
    <w:rsid w:val="00A03FA8"/>
    <w:rsid w:val="00A915CE"/>
    <w:rsid w:val="00AD09CA"/>
    <w:rsid w:val="00B20B5A"/>
    <w:rsid w:val="00B55A7C"/>
    <w:rsid w:val="00B91270"/>
    <w:rsid w:val="00BA0812"/>
    <w:rsid w:val="00BD3BCC"/>
    <w:rsid w:val="00C04BAE"/>
    <w:rsid w:val="00C13992"/>
    <w:rsid w:val="00C71953"/>
    <w:rsid w:val="00C9511C"/>
    <w:rsid w:val="00D12A88"/>
    <w:rsid w:val="00D34EAC"/>
    <w:rsid w:val="00D4627C"/>
    <w:rsid w:val="00DB73BC"/>
    <w:rsid w:val="00EB0560"/>
    <w:rsid w:val="00EB6B24"/>
    <w:rsid w:val="00EE198E"/>
    <w:rsid w:val="00EE5633"/>
    <w:rsid w:val="00EF664B"/>
    <w:rsid w:val="00F10DD5"/>
    <w:rsid w:val="00F37C90"/>
    <w:rsid w:val="00F70440"/>
    <w:rsid w:val="00FB10C4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4075B"/>
  <w15:chartTrackingRefBased/>
  <w15:docId w15:val="{0C0E2BA7-D414-4113-BD82-EAB65E3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399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4C4"/>
  </w:style>
  <w:style w:type="paragraph" w:styleId="Stopka">
    <w:name w:val="footer"/>
    <w:basedOn w:val="Normalny"/>
    <w:link w:val="StopkaZnak"/>
    <w:uiPriority w:val="99"/>
    <w:unhideWhenUsed/>
    <w:rsid w:val="0026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4C4"/>
  </w:style>
  <w:style w:type="paragraph" w:styleId="NormalnyWeb">
    <w:name w:val="Normal (Web)"/>
    <w:basedOn w:val="Normalny"/>
    <w:uiPriority w:val="99"/>
    <w:unhideWhenUsed/>
    <w:rsid w:val="0040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F8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9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95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47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D18A-E931-41B4-830C-D94BB978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7850</Characters>
  <Application>Microsoft Office Word</Application>
  <DocSecurity>0</DocSecurity>
  <Lines>130</Lines>
  <Paragraphs>28</Paragraphs>
  <ScaleCrop>false</ScaleCrop>
  <Company/>
  <LinksUpToDate>false</LinksUpToDate>
  <CharactersWithSpaces>9104</CharactersWithSpaces>
  <SharedDoc>false</SharedDoc>
  <HLinks>
    <vt:vector size="18" baseType="variant">
      <vt:variant>
        <vt:i4>6291465</vt:i4>
      </vt:variant>
      <vt:variant>
        <vt:i4>6</vt:i4>
      </vt:variant>
      <vt:variant>
        <vt:i4>0</vt:i4>
      </vt:variant>
      <vt:variant>
        <vt:i4>5</vt:i4>
      </vt:variant>
      <vt:variant>
        <vt:lpwstr>mailto:m.jaron@brandpeak.pl</vt:lpwstr>
      </vt:variant>
      <vt:variant>
        <vt:lpwstr/>
      </vt:variant>
      <vt:variant>
        <vt:i4>1507337</vt:i4>
      </vt:variant>
      <vt:variant>
        <vt:i4>3</vt:i4>
      </vt:variant>
      <vt:variant>
        <vt:i4>0</vt:i4>
      </vt:variant>
      <vt:variant>
        <vt:i4>5</vt:i4>
      </vt:variant>
      <vt:variant>
        <vt:lpwstr>https://www.go4poland.pl/</vt:lpwstr>
      </vt:variant>
      <vt:variant>
        <vt:lpwstr/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https://www.go4poland.pl/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Firma</dc:creator>
  <cp:keywords/>
  <dc:description/>
  <cp:lastModifiedBy>Marketing Firma</cp:lastModifiedBy>
  <cp:revision>2</cp:revision>
  <dcterms:created xsi:type="dcterms:W3CDTF">2024-06-10T07:44:00Z</dcterms:created>
  <dcterms:modified xsi:type="dcterms:W3CDTF">2024-06-10T07:44:00Z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32d267aee6e749f7a4ad6e0763bc3adde03b4ba52b8aaf2ada2a5bbc1932d405</vt:lpwstr>
  </property>
</Properties>
</file>